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59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80559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80559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80559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Иркутская область</w:t>
      </w:r>
    </w:p>
    <w:p w:rsidR="000F0716" w:rsidRPr="006E0437" w:rsidRDefault="00980559" w:rsidP="0098055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Тулунский район</w:t>
      </w:r>
    </w:p>
    <w:p w:rsidR="000F0716" w:rsidRPr="006E0437" w:rsidRDefault="00980559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</w:t>
      </w:r>
      <w:r w:rsidR="000F0716" w:rsidRPr="006E043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Евдокимовского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980559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29.06</w:t>
      </w:r>
      <w:r w:rsidR="0092518F">
        <w:rPr>
          <w:b/>
          <w:sz w:val="28"/>
          <w:szCs w:val="28"/>
        </w:rPr>
        <w:t>.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 w:rsidR="00BB724E">
        <w:rPr>
          <w:b/>
          <w:sz w:val="28"/>
          <w:szCs w:val="28"/>
        </w:rPr>
        <w:t>116</w:t>
      </w:r>
    </w:p>
    <w:p w:rsidR="000F0716" w:rsidRPr="006E0437" w:rsidRDefault="00980559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с.Бадар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</w:t>
      </w:r>
      <w:proofErr w:type="gramStart"/>
      <w:r w:rsidRPr="007C4B53">
        <w:rPr>
          <w:b/>
          <w:i/>
          <w:sz w:val="28"/>
          <w:szCs w:val="28"/>
        </w:rPr>
        <w:t>градостроительного</w:t>
      </w:r>
      <w:proofErr w:type="gramEnd"/>
      <w:r w:rsidRPr="007C4B53">
        <w:rPr>
          <w:b/>
          <w:i/>
          <w:sz w:val="28"/>
          <w:szCs w:val="28"/>
        </w:rPr>
        <w:t xml:space="preserve">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Pr="007C4B53">
        <w:rPr>
          <w:b/>
          <w:i/>
          <w:sz w:val="28"/>
          <w:szCs w:val="28"/>
        </w:rPr>
        <w:t xml:space="preserve"> </w:t>
      </w:r>
      <w:r w:rsidR="00980559">
        <w:rPr>
          <w:b/>
          <w:i/>
          <w:sz w:val="28"/>
          <w:szCs w:val="28"/>
        </w:rPr>
        <w:t>Евдокимовского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гра</w:t>
      </w:r>
      <w:r w:rsidR="00980559">
        <w:rPr>
          <w:color w:val="000000"/>
          <w:sz w:val="28"/>
        </w:rPr>
        <w:t>достроительного проектирования Евдокимовского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 w:rsidR="00980559">
        <w:rPr>
          <w:color w:val="000000"/>
          <w:sz w:val="28"/>
        </w:rPr>
        <w:t>Евдокимовского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980559">
        <w:rPr>
          <w:color w:val="000000"/>
          <w:sz w:val="28"/>
        </w:rPr>
        <w:t>29.09.2016 г.№ 107</w:t>
      </w:r>
      <w:r w:rsidRPr="004751FF">
        <w:rPr>
          <w:color w:val="000000"/>
          <w:sz w:val="28"/>
        </w:rPr>
        <w:t xml:space="preserve">, 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80559">
        <w:rPr>
          <w:sz w:val="28"/>
          <w:szCs w:val="28"/>
        </w:rPr>
        <w:t>Евдокимовского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980559">
        <w:rPr>
          <w:sz w:val="28"/>
          <w:szCs w:val="28"/>
        </w:rPr>
        <w:t>Евдокимовского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980559">
        <w:rPr>
          <w:rFonts w:ascii="Times New Roman" w:hAnsi="Times New Roman"/>
          <w:sz w:val="28"/>
          <w:szCs w:val="28"/>
        </w:rPr>
        <w:t>Евдокимовского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980559">
        <w:rPr>
          <w:rFonts w:ascii="Times New Roman" w:hAnsi="Times New Roman"/>
          <w:sz w:val="28"/>
          <w:szCs w:val="28"/>
        </w:rPr>
        <w:t xml:space="preserve">Евдокимовского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980559">
        <w:rPr>
          <w:rFonts w:ascii="Times New Roman" w:hAnsi="Times New Roman"/>
          <w:sz w:val="28"/>
          <w:szCs w:val="28"/>
        </w:rPr>
        <w:t>29.09.2016 г. №107</w:t>
      </w:r>
      <w:r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980559" w:rsidRPr="00980559">
        <w:rPr>
          <w:sz w:val="28"/>
          <w:szCs w:val="28"/>
        </w:rPr>
        <w:t>Евдокимовский</w:t>
      </w:r>
      <w:r w:rsidR="000F0716" w:rsidRPr="00980559">
        <w:rPr>
          <w:sz w:val="28"/>
          <w:szCs w:val="28"/>
        </w:rPr>
        <w:t xml:space="preserve"> вестник</w:t>
      </w:r>
      <w:r w:rsidR="000F0716">
        <w:rPr>
          <w:sz w:val="28"/>
          <w:szCs w:val="28"/>
        </w:rPr>
        <w:t xml:space="preserve">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980559">
        <w:rPr>
          <w:sz w:val="28"/>
          <w:szCs w:val="28"/>
        </w:rPr>
        <w:t>Евдокимовского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0F0716" w:rsidRDefault="00980559" w:rsidP="00852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Евдокимовского </w:t>
      </w:r>
      <w:r w:rsidR="000F0716" w:rsidRPr="00C60732">
        <w:rPr>
          <w:sz w:val="28"/>
          <w:szCs w:val="28"/>
        </w:rPr>
        <w:t>сельского поселения</w:t>
      </w:r>
      <w:r w:rsidR="000F0716"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 w:rsidR="000F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В.Н.Копанев</w:t>
      </w:r>
      <w:r w:rsidR="000F0716" w:rsidRPr="00C60732">
        <w:rPr>
          <w:sz w:val="28"/>
          <w:szCs w:val="28"/>
        </w:rPr>
        <w:t xml:space="preserve"> </w:t>
      </w: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4E6AC5" w:rsidP="00C1596B">
      <w:pPr>
        <w:jc w:val="right"/>
      </w:pPr>
      <w:r>
        <w:t xml:space="preserve">Евдокимовского </w:t>
      </w:r>
      <w:r w:rsidR="00C1596B">
        <w:t xml:space="preserve">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4E6AC5">
        <w:t>29.06.</w:t>
      </w:r>
      <w:r w:rsidR="00494388">
        <w:t>.2021г.</w:t>
      </w:r>
      <w:r>
        <w:t xml:space="preserve"> №</w:t>
      </w:r>
      <w:r w:rsidR="00494388">
        <w:t xml:space="preserve"> </w:t>
      </w:r>
      <w:r w:rsidR="00BB724E">
        <w:t>116</w:t>
      </w:r>
      <w:bookmarkStart w:id="0" w:name="_GoBack"/>
      <w:bookmarkEnd w:id="0"/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4E6AC5" w:rsidP="00C1596B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Евдокимовского</w:t>
      </w:r>
      <w:r w:rsidR="00C1596B"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>
        <w:rPr>
          <w:b/>
          <w:caps/>
          <w:sz w:val="28"/>
          <w:szCs w:val="28"/>
        </w:rPr>
        <w:t>Евдокимовского</w:t>
      </w:r>
      <w:r w:rsidR="00C1596B">
        <w:rPr>
          <w:b/>
          <w:caps/>
          <w:sz w:val="28"/>
          <w:szCs w:val="28"/>
        </w:rPr>
        <w:t xml:space="preserve"> сельского поселения </w:t>
      </w:r>
      <w:r w:rsidR="00C1596B" w:rsidRPr="00C1596B">
        <w:rPr>
          <w:b/>
          <w:caps/>
          <w:sz w:val="20"/>
          <w:szCs w:val="20"/>
        </w:rPr>
        <w:t>от</w:t>
      </w:r>
      <w:r w:rsidR="00C1596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29.09.2016 г.№ 107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4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6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4E6AC5" w:rsidP="004E6AC5">
      <w:pPr>
        <w:pStyle w:val="1"/>
        <w:jc w:val="left"/>
      </w:pPr>
      <w:r>
        <w:t xml:space="preserve">                                        </w:t>
      </w:r>
      <w:r w:rsidR="00FF44F9"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проектирования </w:t>
      </w:r>
      <w:r w:rsidR="00C1596B">
        <w:t xml:space="preserve"> </w:t>
      </w:r>
      <w:r w:rsidR="004E6AC5">
        <w:t>Евдокимовского</w:t>
      </w:r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 </w:t>
      </w:r>
      <w:r w:rsidR="00FF44F9">
        <w:t xml:space="preserve"> и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4E6AC5">
        <w:rPr>
          <w:bCs/>
        </w:rPr>
        <w:t>обеспечены</w:t>
      </w:r>
      <w:r w:rsidR="00D3133F" w:rsidRPr="00D3133F">
        <w:rPr>
          <w:bCs/>
          <w:highlight w:val="yellow"/>
        </w:rPr>
        <w:t xml:space="preserve"> </w:t>
      </w:r>
      <w:r w:rsidR="00D3133F" w:rsidRPr="004E6AC5">
        <w:rPr>
          <w:bCs/>
        </w:rPr>
        <w:t>требования</w:t>
      </w:r>
      <w:r w:rsidRPr="004E6AC5">
        <w:rPr>
          <w:bCs/>
        </w:rPr>
        <w:t>: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4E6AC5">
        <w:rPr>
          <w:bCs/>
        </w:rPr>
        <w:t>разработк</w:t>
      </w:r>
      <w:r w:rsidR="00D3133F" w:rsidRPr="004E6AC5">
        <w:rPr>
          <w:bCs/>
        </w:rPr>
        <w:t>а</w:t>
      </w:r>
      <w:r w:rsidRPr="004E6AC5">
        <w:rPr>
          <w:bCs/>
        </w:rPr>
        <w:t xml:space="preserve"> и утверждение</w:t>
      </w:r>
      <w:r w:rsidRPr="009651E2">
        <w:rPr>
          <w:bCs/>
        </w:rPr>
        <w:t xml:space="preserve">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4E6AC5">
        <w:rPr>
          <w:bCs/>
        </w:rPr>
        <w:t>установлен</w:t>
      </w:r>
      <w:r w:rsidR="00D3133F" w:rsidRPr="004E6AC5">
        <w:rPr>
          <w:bCs/>
        </w:rPr>
        <w:t>ы</w:t>
      </w:r>
      <w:r w:rsidRPr="004E6AC5">
        <w:rPr>
          <w:bCs/>
        </w:rPr>
        <w:t xml:space="preserve"> норматив</w:t>
      </w:r>
      <w:r w:rsidR="00D3133F" w:rsidRPr="004E6AC5">
        <w:rPr>
          <w:bCs/>
        </w:rPr>
        <w:t>ы</w:t>
      </w:r>
      <w:r w:rsidRPr="004E6AC5">
        <w:rPr>
          <w:bCs/>
        </w:rPr>
        <w:t xml:space="preserve"> и норм</w:t>
      </w:r>
      <w:r w:rsidR="00D3133F" w:rsidRPr="004E6AC5">
        <w:rPr>
          <w:bCs/>
        </w:rPr>
        <w:t>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>поручением Президента Российской Федерации, требованием Службы архитектуры Иркутской области</w:t>
      </w:r>
      <w:r w:rsidRPr="004E6AC5">
        <w:t xml:space="preserve">, главой </w:t>
      </w:r>
      <w:r w:rsidR="004E6AC5">
        <w:t>Евдокимовского</w:t>
      </w:r>
      <w:r w:rsidRPr="004E6AC5">
        <w:t xml:space="preserve"> сельского</w:t>
      </w:r>
      <w:r w:rsidRPr="00663452">
        <w:t xml:space="preserve">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градостроительного проектирования </w:t>
      </w:r>
      <w:r w:rsidR="004E6AC5">
        <w:t>Евдокимовского</w:t>
      </w:r>
      <w:r>
        <w:t xml:space="preserve">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4E6AC5">
        <w:t xml:space="preserve">Евдокимовского </w:t>
      </w:r>
      <w:r w:rsidRPr="00663452">
        <w:t xml:space="preserve">сельского поселения от </w:t>
      </w:r>
      <w:r w:rsidR="004E6AC5">
        <w:t>29.09.2016 г. № 107</w:t>
      </w:r>
      <w:r w:rsidRPr="00663452">
        <w:t>»</w:t>
      </w:r>
      <w:r w:rsidR="00BE4CF3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proofErr w:type="gramStart"/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 w:rsidR="006911A8">
        <w:t xml:space="preserve"> Евдокимовского</w:t>
      </w:r>
      <w:r>
        <w:t xml:space="preserve">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4E6AC5">
        <w:t>Евдокимовского</w:t>
      </w:r>
      <w:r w:rsidRPr="001E645D">
        <w:t xml:space="preserve"> сельского поселения</w:t>
      </w:r>
      <w:r w:rsidRPr="009651E2">
        <w:t xml:space="preserve"> от </w:t>
      </w:r>
      <w:r w:rsidR="004E6AC5">
        <w:t>29.09.2016 г. № 107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</w:t>
      </w:r>
      <w:r w:rsidR="004E6AC5">
        <w:t>Евдокимовского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6911A8">
        <w:t xml:space="preserve">Евдокимовского </w:t>
      </w:r>
      <w:r w:rsidRPr="001E645D">
        <w:t>сельского поселения.</w:t>
      </w:r>
      <w:proofErr w:type="gramEnd"/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6911A8">
        <w:t>Евдокимовского</w:t>
      </w:r>
      <w:r>
        <w:t xml:space="preserve">  </w:t>
      </w:r>
      <w:r w:rsidRPr="00B32A22">
        <w:t>сельского поселения</w:t>
      </w:r>
      <w:r w:rsidRPr="009651E2">
        <w:t xml:space="preserve"> состоят </w:t>
      </w:r>
      <w:proofErr w:type="gramStart"/>
      <w:r w:rsidRPr="009651E2">
        <w:t>из</w:t>
      </w:r>
      <w:proofErr w:type="gramEnd"/>
      <w:r w:rsidRPr="009651E2">
        <w:t>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proofErr w:type="gramStart"/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6911A8">
        <w:t>Евдокимовского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6911A8">
        <w:t xml:space="preserve">Евдокимовского </w:t>
      </w:r>
      <w:r w:rsidR="00C1596B">
        <w:t>сельского поселения</w:t>
      </w:r>
      <w:r w:rsidR="00C1596B" w:rsidRPr="009651E2">
        <w:t>.</w:t>
      </w:r>
      <w:proofErr w:type="gramEnd"/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</w:t>
      </w:r>
      <w:proofErr w:type="gramStart"/>
      <w:r w:rsidRPr="000F0C22">
        <w:t>имеет</w:t>
      </w:r>
      <w:proofErr w:type="gramEnd"/>
      <w:r w:rsidRPr="000F0C22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proofErr w:type="gramStart"/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t xml:space="preserve">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  <w:proofErr w:type="gramEnd"/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t>пр</w:t>
      </w:r>
      <w:proofErr w:type="spellEnd"/>
      <w:proofErr w:type="gram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</w:t>
      </w:r>
      <w:proofErr w:type="gramStart"/>
      <w:r w:rsidRPr="00DD35AA"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  <w:proofErr w:type="gramEnd"/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t xml:space="preserve">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  <w:proofErr w:type="gramEnd"/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 xml:space="preserve">В сельских поселениях велосипедные дорожки могут быть совмещены </w:t>
      </w:r>
      <w:proofErr w:type="gramStart"/>
      <w:r>
        <w:t>с</w:t>
      </w:r>
      <w:proofErr w:type="gramEnd"/>
      <w:r>
        <w:t xml:space="preserve"> пешеходными. Тротуары и велосипедные дорожки следует устраивать </w:t>
      </w:r>
      <w:proofErr w:type="gramStart"/>
      <w:r>
        <w:t>приподнятыми</w:t>
      </w:r>
      <w:proofErr w:type="gramEnd"/>
      <w:r>
        <w:t xml:space="preserve">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>
        <w:rPr>
          <w:vertAlign w:val="superscript"/>
        </w:rPr>
        <w:t>2</w:t>
      </w:r>
      <w:proofErr w:type="gramEnd"/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</w:t>
      </w:r>
      <w:r w:rsidR="006911A8">
        <w:t>орог для населения Евдокимовского</w:t>
      </w:r>
      <w:r>
        <w:t xml:space="preserve">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6911A8">
        <w:t>Евдокимовского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="006911A8">
        <w:t>Евдокимовского</w:t>
      </w:r>
      <w:r>
        <w:t xml:space="preserve">  муниципального образования Тулунского района Иркутской о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62B9B"/>
    <w:rsid w:val="004751FF"/>
    <w:rsid w:val="00494388"/>
    <w:rsid w:val="004E6AC5"/>
    <w:rsid w:val="00502F07"/>
    <w:rsid w:val="00561F81"/>
    <w:rsid w:val="005D69AE"/>
    <w:rsid w:val="00663452"/>
    <w:rsid w:val="006911A8"/>
    <w:rsid w:val="006A02DD"/>
    <w:rsid w:val="006B388E"/>
    <w:rsid w:val="007C4B53"/>
    <w:rsid w:val="008522B7"/>
    <w:rsid w:val="00893824"/>
    <w:rsid w:val="00910F3D"/>
    <w:rsid w:val="0092518F"/>
    <w:rsid w:val="00970361"/>
    <w:rsid w:val="00980559"/>
    <w:rsid w:val="009B0B88"/>
    <w:rsid w:val="00A06083"/>
    <w:rsid w:val="00B32A22"/>
    <w:rsid w:val="00BB724E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cp:lastPrinted>2021-05-28T04:59:00Z</cp:lastPrinted>
  <dcterms:created xsi:type="dcterms:W3CDTF">2021-06-07T02:47:00Z</dcterms:created>
  <dcterms:modified xsi:type="dcterms:W3CDTF">2021-06-29T00:13:00Z</dcterms:modified>
</cp:coreProperties>
</file>